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
          <w:sz w:val="36"/>
          <w:szCs w:val="36"/>
          <w:bdr w:val="none" w:color="auto" w:sz="0" w:space="0"/>
        </w:rPr>
        <w:t>国务院办公厅关于深化产教融合的若干意见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楷体" w:hAnsi="楷体" w:eastAsia="楷体" w:cs="楷体"/>
          <w:bdr w:val="none" w:color="auto" w:sz="0" w:space="0"/>
        </w:rPr>
        <w:t>国办发〔2017〕95号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dr w:val="none" w:color="auto" w:sz="0" w:space="0"/>
        </w:rPr>
        <w:t>各省、自治区、直辖市人民政府，国务院各部委、各直属机构：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bdr w:val="none" w:color="auto" w:sz="0" w:space="0"/>
        </w:rPr>
        <w:t>进入新世纪以来，我国教育事业蓬勃发展，为社会主义现代化建设培养输送了大批高素质人才，为加快发展壮大现代产业体系作出了重大贡献。但同时，受体制机制等多种因素影响，人才培养供给侧和产业需求侧在结构、质量、水平上还不能完全适应，“两张皮”问题仍然存在。深化产教融合，促进教育链、人才链与产业链、创新链有机衔接，是当前推进人力资源供给侧结构性改革的迫切要求，对新形势下全面提高教育质量、扩大就业创业、推进经济转型升级、培育经济发展新动能具有重要意义。为贯彻落实党的十九大精神，深化产教融合，全面提升人力资源质量，经国务院同意，现提出以下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b/>
          <w:bdr w:val="none" w:color="auto" w:sz="0" w:space="0"/>
        </w:rPr>
        <w:t>一、总体要求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（一）指导思想。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bdr w:val="none" w:color="auto" w:sz="0" w:space="0"/>
        </w:rPr>
        <w:t>全面贯彻党的十九大精神，坚持以习近平新时代中国特色社会主义思想为指导，紧紧围绕统筹推进“五位一体”总体布局和协调推进“四个全面”战略布局，坚持以人民为中心，坚持新发展理念，认真落实党中央、国务院关于教育综合改革的决策部署，深化职业教育、高等教育等改革，发挥企业重要主体作用，促进人才培养供给侧和产业需求侧结构要素全方位融合，培养大批高素质创新人才和技术技能人才，为加快建设实体经济、科技创新、现代金融、人力资源协同发展的产业体系，增强产业核心竞争力，汇聚发展新动能提供有力支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（二）原则和目标。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统筹协调，共同推进。</w:t>
      </w:r>
      <w:r>
        <w:rPr>
          <w:bdr w:val="none" w:color="auto" w:sz="0" w:space="0"/>
        </w:rPr>
        <w:t>将产教融合作为促进经济社会协调发展的重要举措，融入经济转型升级各环节，贯穿人才开发全过程，形成政府企业学校行业社会协同推进的工作格局。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服务需求，优化结构。</w:t>
      </w:r>
      <w:r>
        <w:rPr>
          <w:bdr w:val="none" w:color="auto" w:sz="0" w:space="0"/>
        </w:rPr>
        <w:t>面向产业和区域发展需求，完善教育资源布局，加快人才培养结构调整，创新教育组织形态，促进教育和产业联动发展。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校企协同，合作育人。</w:t>
      </w:r>
      <w:r>
        <w:rPr>
          <w:bdr w:val="none" w:color="auto" w:sz="0" w:space="0"/>
        </w:rPr>
        <w:t>充分调动企业参与产教融合的积极性和主动性，强化政策引导，鼓励先行先试，促进供需对接和流程再造，构建校企合作长效机制。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深化产教融合的主要目标是，</w:t>
      </w:r>
      <w:r>
        <w:rPr>
          <w:bdr w:val="none" w:color="auto" w:sz="0" w:space="0"/>
        </w:rPr>
        <w:t>逐步提高行业企业参与办学程度，健全多元化办学体制，全面推行校企协同育人，用10年左右时间，教育和产业统筹融合、良性互动的发展格局总体形成，需求导向的人才培养模式健全完善，人才教育供给与产业需求重大结构性矛盾基本解决，职业教育、高等教育对经济发展和产业升级的贡献显著增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b/>
          <w:bdr w:val="none" w:color="auto" w:sz="0" w:space="0"/>
        </w:rPr>
        <w:t>二、构建教育和产业统筹融合发展格局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（三）同步规划产教融合与经济社会发展。</w:t>
      </w:r>
      <w:r>
        <w:rPr>
          <w:bdr w:val="none" w:color="auto" w:sz="0" w:space="0"/>
        </w:rPr>
        <w:t>制定实施经济社会发展规划，以及区域发展、产业发展、城市建设和重大生产力布局规划，要明确产教融合发展要求，将教育优先、人才先行融入各项政策。结合实施创新驱动发展、新型城镇化、制造强国战略，统筹优化教育和产业结构，同步规划产教融合发展政策措施、支持方式、实现途径和重大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（四）统筹职业教育与区域发展布局。</w:t>
      </w:r>
      <w:r>
        <w:rPr>
          <w:bdr w:val="none" w:color="auto" w:sz="0" w:space="0"/>
        </w:rPr>
        <w:t>按照国家区域发展总体战略和主体功能区规划，优化职业教育布局，引导职业教育资源逐步向产业和人口集聚区集中。面向脱贫攻坚主战场，积极推进贫困地区学生到城市优质职业学校就学。加强东部对口西部、城市支援农村职业教育扶贫。支持中部打造全国重要的先进制造业职业教育基地。支持东北等老工业基地振兴发展急需的职业教育。加强京津冀、长江经济带城市间协同合作，引导各地结合区域功能、产业特点探索差别化职业教育发展路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（五）促进高等教育融入国家创新体系和新型城镇化建设。</w:t>
      </w:r>
      <w:r>
        <w:rPr>
          <w:bdr w:val="none" w:color="auto" w:sz="0" w:space="0"/>
        </w:rPr>
        <w:t>完善世界一流大学和一流学科建设推进机制，注重发挥对国家和区域创新中心发展的支撑引领作用。健全高等学校与行业骨干企业、中小微创业型企业紧密协同的创新生态系统，增强创新中心集聚人才资源、牵引产业升级能力。适应以城市群为主体的新型城镇化发展，合理布局高等教育资源，增强中小城市产业承载和创新能力，构建梯次有序、功能互补、资源共享、合作紧密的产教融合网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（六）推动学科专业建设与产业转型升级相适应。</w:t>
      </w:r>
      <w:r>
        <w:rPr>
          <w:bdr w:val="none" w:color="auto" w:sz="0" w:space="0"/>
        </w:rPr>
        <w:t>建立紧密对接产业链、创新链的学科专业体系。大力发展现代农业、智能制造、高端装备、新一代信息技术、生物医药、节能环保、新能源、新材料以及研发设计、数字创意、现代交通运输、高效物流、融资租赁、电子商务、服务外包等产业急需紧缺学科专业。积极支持家政、健康、养老、文化、旅游等社会领域专业发展，推进标准化、规范化、品牌化建设。加强智慧城市、智能建筑等城市可持续发展能力相关专业建设。大力支持集成电路、航空发动机及燃气轮机、网络安全、人工智能等事关国家战略、国家安全等学科专业建设。适应新一轮科技革命和产业变革及新经济发展，促进学科专业交叉融合，加快推进新工科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（七）健全需求导向的人才培养结构调整机制。</w:t>
      </w:r>
      <w:r>
        <w:rPr>
          <w:bdr w:val="none" w:color="auto" w:sz="0" w:space="0"/>
        </w:rPr>
        <w:t>加快推进教育“放管服”改革，注重发挥市场机制配置非基本公共教育资源作用，强化就业市场对人才供给的有效调节。进一步完善高校毕业生就业质量年度报告发布制度，注重发挥行业组织人才需求预测、用人单位职业能力评价作用，把市场供求比例、就业质量作为学校设置调整学科专业、确定培养规模的重要依据。新增研究生招生计划向承担国家重大战略任务、积极推行校企协同育人的高校和学科倾斜。严格实行专业预警和退出机制，引导学校对设置雷同、就业连续不达标专业，及时调减或停止招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b/>
          <w:bdr w:val="none" w:color="auto" w:sz="0" w:space="0"/>
        </w:rPr>
        <w:t>三、强化企业重要主体作用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（八）拓宽企业参与途径。</w:t>
      </w:r>
      <w:r>
        <w:rPr>
          <w:bdr w:val="none" w:color="auto" w:sz="0" w:space="0"/>
        </w:rPr>
        <w:t>鼓励企业以独资、合资、合作等方式依法参与举办职业教育、高等教育。坚持准入条件透明化、审批范围最小化，细化标准、简化流程、优化服务，改进办学准入条件和审批环节。通过购买服务、委托管理等，支持企业参与公办职业学校办学。鼓励有条件的地区探索推进职业学校股份制、混合所有制改革，允许企业以资本、技术、管理等要素依法参与办学并享有相应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（九）深化“引企入教”改革。</w:t>
      </w:r>
      <w:r>
        <w:rPr>
          <w:bdr w:val="none" w:color="auto" w:sz="0" w:space="0"/>
        </w:rPr>
        <w:t>支持引导企业深度参与职业学校、高等学校教育教学改革，多种方式参与学校专业规划、教材开发、教学设计、课程设置、实习实训，促进企业需求融入人才培养环节。推行面向企业真实生产环境的任务式培养模式。职业学校新设专业原则上应有相关行业企业参与。鼓励企业依托或联合职业学校、高等学校设立产业学院和企业工作室、实验室、创新基地、实践基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（十）开展生产性实习实训。</w:t>
      </w:r>
      <w:r>
        <w:rPr>
          <w:bdr w:val="none" w:color="auto" w:sz="0" w:space="0"/>
        </w:rPr>
        <w:t>健全学生到企业实习实训制度。鼓励以引企驻校、引校进企、校企一体等方式，吸引优势企业与学校共建共享生产性实训基地。支持各地依托学校建设行业或区域性实训基地，带动中小微企业参与校企合作。通过探索购买服务、落实税收政策等方式，鼓励企业直接接收学生实习实训。推进实习实训规范化，保障学生享有获得合理报酬等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（十一）以企业为主体推进协同创新和成果转化。</w:t>
      </w:r>
      <w:r>
        <w:rPr>
          <w:bdr w:val="none" w:color="auto" w:sz="0" w:space="0"/>
        </w:rPr>
        <w:t>支持企业、学校、科研院所围绕产业关键技术、核心工艺和共性问题开展协同创新，加快基础研究成果向产业技术转化。引导高校将企业生产一线实际需求作为工程技术研究选题的重要来源。完善财政科技计划管理，高校、科研机构牵头申请的应用型、工程技术研究项目原则上应有行业企业参与并制订成果转化方案。完善高校科研后评价体系，将成果转化作为项目和人才评价重要内容。继续加强企业技术中心和高校技术创新平台建设，鼓励企业和高校共建产业技术实验室、中试和工程化基地。利用产业投资基金支持高校创新成果和核心技术产业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（十二）强化企业职工在岗教育培训。</w:t>
      </w:r>
      <w:r>
        <w:rPr>
          <w:bdr w:val="none" w:color="auto" w:sz="0" w:space="0"/>
        </w:rPr>
        <w:t>落实企业职工培训制度，足额提取教育培训经费，确保教育培训经费60%以上用于一线职工。创新教育培训方式，鼓励企业向职业学校、高等学校和培训机构购买培训服务。鼓励有条件的企业开展职工技能竞赛，对参加培训提升技能等级的职工予以奖励或补贴。支持企业一线骨干技术人员技能提升，加强产能严重过剩行业转岗就业人员再就业培训。将不按规定提取使用教育培训经费并拒不改正的行为记入企业信用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（十三）发挥骨干企业引领作用。</w:t>
      </w:r>
      <w:r>
        <w:rPr>
          <w:bdr w:val="none" w:color="auto" w:sz="0" w:space="0"/>
        </w:rPr>
        <w:t>鼓励区域、行业骨干企业联合职业学校、高等学校共同组建产教融合集团（联盟），带动中小企业参与，推进实体化运作。注重发挥国有企业特别是中央企业示范带头作用，支持各类企业依法参与校企合作。结合推进国有企业改革，支持有条件的国有企业继续办好做强职业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b/>
          <w:bdr w:val="none" w:color="auto" w:sz="0" w:space="0"/>
        </w:rPr>
        <w:t>四、推进产教融合人才培养改革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（十四）将工匠精神培育融入基础教育。</w:t>
      </w:r>
      <w:r>
        <w:rPr>
          <w:bdr w:val="none" w:color="auto" w:sz="0" w:space="0"/>
        </w:rPr>
        <w:t>将动手实践内容纳入中小学相关课程和学生综合素质评价。加强学校劳动教育，开展生产实践体验，支持学校聘请劳动模范和高技能人才兼职授课。组织开展“大国工匠进校园”活动。鼓励有条件的普通中学开设职业类选修课程，鼓励职业学校实训基地向普通中学开放。鼓励有条件的地方在大型企业、产业园区周边试点建设普职融通的综合高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（十五）推进产教协同育人。</w:t>
      </w:r>
      <w:r>
        <w:rPr>
          <w:bdr w:val="none" w:color="auto" w:sz="0" w:space="0"/>
        </w:rPr>
        <w:t>坚持职业教育校企合作、工学结合的办学制度，推进职业学校和企业联盟、与行业联合、同园区联结。大力发展校企双制、工学一体的技工教育。深化全日制职业学校办学体制改革，在技术性、实践性较强的专业，全面推行现代学徒制和企业新型学徒制，推动学校招生与企业招工相衔接，校企育人“双重主体”，学生学徒“双重身份”，学校、企业和学生三方权利义务关系明晰。实践性教学课时不少于总课时的50%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bdr w:val="none" w:color="auto" w:sz="0" w:space="0"/>
        </w:rPr>
        <w:t>健全高等教育学术人才和应用人才分类培养体系，提高应用型人才培养比重。推动高水平大学加强创新创业人才培养，为学生提供多样化成长路径。大力支持应用型本科和行业特色类高校建设，紧密围绕产业需求，强化实践教学，完善以应用型人才为主的培养体系。推进专业学位研究生产学结合培养模式改革，增强复合型人才培养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（十六）加强产教融合师资队伍建设。</w:t>
      </w:r>
      <w:r>
        <w:rPr>
          <w:bdr w:val="none" w:color="auto" w:sz="0" w:space="0"/>
        </w:rPr>
        <w:t>支持企业技术和管理人才到学校任教，鼓励有条件的地方探索产业教师（导师）特设岗位计划。探索符合职业教育和应用型高校特点的教师资格标准和专业技术职务（职称）评聘办法。允许职业学校和高等学校依法依规自主聘请兼职教师和确定兼职报酬。推动职业学校、应用型本科高校与大中型企业合作建设“双师型”教师培养培训基地。完善职业学校和高等学校教师实践假期制度，支持在职教师定期到企业实践锻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（十七）完善考试招生配套改革。</w:t>
      </w:r>
      <w:r>
        <w:rPr>
          <w:bdr w:val="none" w:color="auto" w:sz="0" w:space="0"/>
        </w:rPr>
        <w:t>加快高等职业学校分类招考，完善“文化素质+职业技能”评价方式。适度提高高等学校招收职业教育毕业生比例，建立复合型、创新型技术技能人才系统培养制度。逐步提高高等学校招收有工作实践经历人员的比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（十八）加快学校治理结构改革。</w:t>
      </w:r>
      <w:r>
        <w:rPr>
          <w:bdr w:val="none" w:color="auto" w:sz="0" w:space="0"/>
        </w:rPr>
        <w:t>建立健全职业学校和高等学校理事会制度，鼓励引入行业企业、科研院所、社会组织等多方参与。推动学校优化内部治理，充分体现一线教学科研机构自主权，积极发展跨学科、跨专业教学和科研组织。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（十九）创新教育培训服务供给。</w:t>
      </w:r>
      <w:r>
        <w:rPr>
          <w:bdr w:val="none" w:color="auto" w:sz="0" w:space="0"/>
        </w:rPr>
        <w:t>鼓励教育培训机构、行业企业联合开发优质教育资源，大力支持“互联网+教育培训”发展。支持有条件的社会组织整合校企资源，开发立体化、可选择的产业技术课程和职业培训包。推动探索高校和行业企业课程学分转换互认，允许和鼓励高校向行业企业和社会培训机构购买创新创业、前沿技术课程和教学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b/>
          <w:bdr w:val="none" w:color="auto" w:sz="0" w:space="0"/>
        </w:rPr>
        <w:t>五、促进产教供需双向对接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（二十）强化行业协调指导。</w:t>
      </w:r>
      <w:r>
        <w:rPr>
          <w:bdr w:val="none" w:color="auto" w:sz="0" w:space="0"/>
        </w:rPr>
        <w:t>行业主管部门要加强引导，通过职能转移、授权委托等方式，积极支持行业组织制定深化产教融合工作计划，开展人才需求预测、校企合作对接、教育教学指导、职业技能鉴定等服务。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（二十一）规范发展市场服务组织。</w:t>
      </w:r>
      <w:r>
        <w:rPr>
          <w:bdr w:val="none" w:color="auto" w:sz="0" w:space="0"/>
        </w:rPr>
        <w:t>鼓励地方政府、行业企业、学校通过购买服务、合作设立等方式，积极培育市场导向、对接供需、精准服务、规范运作的产教融合服务组织（企业）。支持利用市场合作和产业分工，提供专业化服务，构建校企利益共同体，形成稳定互惠的合作机制，促进校企紧密联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（二十二）打造信息服务平台。</w:t>
      </w:r>
      <w:r>
        <w:rPr>
          <w:bdr w:val="none" w:color="auto" w:sz="0" w:space="0"/>
        </w:rPr>
        <w:t>鼓励运用云计算、大数据等信息技术，建设市场化、专业化、开放共享的产教融合信息服务平台。依托平台汇聚区域和行业人才供需、校企合作、项目研发、技术服务等各类供求信息，向各类主体提供精准化产教融合信息发布、检索、推荐和相关增值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（二十三）健全社会第三方评价。</w:t>
      </w:r>
      <w:r>
        <w:rPr>
          <w:bdr w:val="none" w:color="auto" w:sz="0" w:space="0"/>
        </w:rPr>
        <w:t>积极支持社会第三方机构开展产教融合效能评价，健全统计评价体系。强化监测评价结果运用，作为绩效考核、投入引导、试点开展、表彰激励的重要依据。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b/>
          <w:bdr w:val="none" w:color="auto" w:sz="0" w:space="0"/>
        </w:rPr>
        <w:t>六、完善政策支持体系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（二十四）实施产教融合发展工程。</w:t>
      </w:r>
      <w:r>
        <w:rPr>
          <w:bdr w:val="none" w:color="auto" w:sz="0" w:space="0"/>
        </w:rPr>
        <w:t>“十三五”期间，支持一批中高等职业学校加强校企合作，共建共享技术技能实训设施。开展高水平应用型本科高校建设试点，加强产教融合实训环境、平台和载体建设。支持中西部普通本科高校面向产业需求，重点强化实践教学环节建设。支持世界一流大学和一流学科建设高校加强学科、人才、科研与产业互动，推进合作育人、协同创新和成果转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（二十五）落实财税用地等政策。</w:t>
      </w:r>
      <w:r>
        <w:rPr>
          <w:bdr w:val="none" w:color="auto" w:sz="0" w:space="0"/>
        </w:rPr>
        <w:t>优化政府投入，完善体现职业学校、应用型高校和行业特色类专业办学特点和成本的职业教育、高等教育拨款机制。职业学校、高等学校科研人员依法取得的科技成果转化奖励收入不纳入绩效工资，不纳入单位工资总额基数。各级财政、税务部门要把深化产教融合作为落实结构性减税政策，推进降成本、补短板的重要举措，落实社会力量举办教育有关财税政策，积极支持职业教育发展和企业参与办学。企业投资或与政府合作建设职业学校、高等学校的建设用地，按科教用地管理，符合《划拨用地目录》的，可通过划拨方式供地，鼓励企业自愿以出让、租赁方式取得土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（二十六）强化金融支持。</w:t>
      </w:r>
      <w:r>
        <w:rPr>
          <w:bdr w:val="none" w:color="auto" w:sz="0" w:space="0"/>
        </w:rPr>
        <w:t>鼓励金融机构按照风险可控、商业可持续原则支持产教融合项目。利用中国政企合作投资基金和国际金融组织、外国政府贷款，积极支持符合条件的产教融合项目建设。遵循相关程序、规则和章程，推动亚洲基础设施投资银行、丝路基金在业务领域内将“一带一路”职业教育项目纳入支持范围。引导银行业金融机构创新服务模式，开发适合产教融合项目特点的多元化融资品种，做好政府和社会资本合作模式的配套金融服务。积极支持符合条件的企业在资本市场进行股权融资，发行标准化债权产品，加大产教融合实训基地项目投资。加快发展学生实习责任保险和人身意外伤害保险，鼓励保险公司对现代学徒制、企业新型学徒制保险专门确定费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（二十七）开展产教融合建设试点。</w:t>
      </w:r>
      <w:r>
        <w:rPr>
          <w:bdr w:val="none" w:color="auto" w:sz="0" w:space="0"/>
        </w:rPr>
        <w:t>根据国家区域发展战略和产业布局，支持若干有较强代表性、影响力和改革意愿的城市、行业、企业开展试点。在认真总结试点经验基础上，鼓励第三方开展产教融合型城市和企业建设评价，完善支持激励政策。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（二十八）加强国际交流合作。</w:t>
      </w:r>
      <w:r>
        <w:rPr>
          <w:bdr w:val="none" w:color="auto" w:sz="0" w:space="0"/>
        </w:rPr>
        <w:t>鼓励职业学校、高等学校引进海外高层次人才和优质教育资源，开发符合国情、国际开放的校企合作培养人才和协同创新模式。探索构建应用技术教育创新国际合作网络，推动一批中外院校和企业结对联合培养国际化应用型人才。鼓励职业教育、高等教育参与配合“一带一路”建设和国际产能合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b/>
          <w:bdr w:val="none" w:color="auto" w:sz="0" w:space="0"/>
        </w:rPr>
        <w:t>七、组织实施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（二十九）强化工作协调。</w:t>
      </w:r>
      <w:r>
        <w:rPr>
          <w:bdr w:val="none" w:color="auto" w:sz="0" w:space="0"/>
        </w:rPr>
        <w:t>加强组织领导，建立发展改革、教育、人力资源社会保障、财政、工业和信息化等部门密切配合，有关行业主管部门、国有资产监督管理部门积极参与的工作协调机制，加强协同联动，推进工作落实。各省级人民政府要结合本地实际制定具体实施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rFonts w:hint="eastAsia" w:ascii="楷体" w:hAnsi="楷体" w:eastAsia="楷体" w:cs="楷体"/>
          <w:bdr w:val="none" w:color="auto" w:sz="0" w:space="0"/>
        </w:rPr>
        <w:t>（三十）营造良好环境。</w:t>
      </w:r>
      <w:r>
        <w:rPr>
          <w:bdr w:val="none" w:color="auto" w:sz="0" w:space="0"/>
        </w:rPr>
        <w:t>做好宣传动员和舆论引导，加快收入分配、企业用人制度以及学校编制、教学科研管理等配套改革，引导形成学校主动服务经济社会发展、企业重视“投资于人”的普遍共识，积极营造全社会充分理解、积极支持、主动参与产教融合的良好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bdr w:val="none" w:color="auto" w:sz="0" w:space="0"/>
        </w:rPr>
        <w:t>附件：重点任务分工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r>
        <w:rPr>
          <w:bdr w:val="none" w:color="auto" w:sz="0" w:space="0"/>
        </w:rPr>
        <w:t>国务院办公厅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right"/>
      </w:pPr>
      <w:r>
        <w:rPr>
          <w:bdr w:val="none" w:color="auto" w:sz="0" w:space="0"/>
        </w:rPr>
        <w:t>2017年12月5日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r>
        <w:rPr>
          <w:bdr w:val="none" w:color="auto" w:sz="0" w:space="0"/>
        </w:rPr>
        <w:t>（此件公开发布）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b/>
          <w:bdr w:val="none" w:color="auto" w:sz="0" w:space="0"/>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
          <w:sz w:val="36"/>
          <w:szCs w:val="36"/>
          <w:bdr w:val="none" w:color="auto" w:sz="0" w:space="0"/>
        </w:rPr>
        <w:t>重 点 任 务 分 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tbl>
      <w:tblPr>
        <w:tblW w:w="9075" w:type="dxa"/>
        <w:jc w:val="center"/>
        <w:tblInd w:w="-276"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18"/>
        <w:gridCol w:w="1537"/>
        <w:gridCol w:w="4229"/>
        <w:gridCol w:w="259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Calibri" w:hAnsi="Calibri" w:cs="Calibri"/>
                <w:sz w:val="21"/>
                <w:szCs w:val="21"/>
              </w:rPr>
            </w:pPr>
            <w:r>
              <w:rPr>
                <w:rFonts w:hint="eastAsia" w:ascii="宋体" w:hAnsi="宋体" w:eastAsia="宋体" w:cs="宋体"/>
                <w:b/>
                <w:sz w:val="20"/>
                <w:szCs w:val="20"/>
                <w:bdr w:val="none" w:color="auto" w:sz="0" w:space="0"/>
              </w:rPr>
              <w:t>序号</w:t>
            </w:r>
          </w:p>
        </w:tc>
        <w:tc>
          <w:tcPr>
            <w:tcW w:w="153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工作任务</w:t>
            </w:r>
          </w:p>
        </w:tc>
        <w:tc>
          <w:tcPr>
            <w:tcW w:w="4229"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主要内容</w:t>
            </w:r>
          </w:p>
        </w:tc>
        <w:tc>
          <w:tcPr>
            <w:tcW w:w="2591"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b/>
                <w:sz w:val="20"/>
                <w:szCs w:val="20"/>
                <w:bdr w:val="none" w:color="auto" w:sz="0" w:space="0"/>
              </w:rPr>
              <w:t>责任单位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w:t>
            </w:r>
          </w:p>
        </w:tc>
        <w:tc>
          <w:tcPr>
            <w:tcW w:w="1537"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构建教育和产业统筹融合发展格局</w:t>
            </w: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同步规划产教融合与经济社会发展。</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国家发展改革委会同有关部门，各省级人民政府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统筹职业教育与区域发展布局。</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教育部、国家发展改革委、人力资源社会保障部，各省级人民政府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3</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促进高等教育融入国家创新体系和新型城镇化建设。</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教育部、国家发展改革委、科技部，有关省级人民政府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4</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推动学科专业建设与产业转型升级相适应。建立紧密对接产业链、创新链的学科专业体系。加快推进新工科建设。</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教育部、国家发展改革委会同有关部门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5</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健全需求导向的人才培养结构调整机制。严格实行专业预警和退出机制。</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教育部会同有关部门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6</w:t>
            </w:r>
          </w:p>
        </w:tc>
        <w:tc>
          <w:tcPr>
            <w:tcW w:w="1537"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强化企业重要主体作用</w:t>
            </w: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鼓励企业以独资、合资、合作等方式依法参与举办职业教育、高等教育。坚持准入条件透明化、审批范围最小化，细化标准、简化流程、优化服务，改进办学准入条件和审批环节。</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教育部会同有关部门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7</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鼓励有条件的地区探索推进职业学校股份制、混合所有制改革，允许企业以资本、技术、管理等要素依法参与办学并享有相应权利。</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有关省级人民政府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8</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深化“引企入教”改革，促进企业需求融入人才培养环节。</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教育部、人力资源社会保障部、工业和信息化部会同有关部门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9</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健全学生到企业实习实训制度，推进实习实训规范化。</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教育部、国家发展改革委、人力资源社会保障部会同有关部门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10</w:t>
            </w:r>
          </w:p>
        </w:tc>
        <w:tc>
          <w:tcPr>
            <w:tcW w:w="1537"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强化企业重要主体作用</w:t>
            </w: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引导高校将企业生产一线实际需求作为工程技术研究选题的重要来源。高校、科研机构牵头申请的应用型、工程技术研究项目原则上应有行业企业参与并制订成果转化方案。完善高校科研后评价体系，将成果转化作为项目和人才评价重要内容。</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教育部、科技部会同有关部门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11</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继续加强企业技术中心和高校技术创新平台建设，鼓励企业和高校共建产业技术实验室、中试和工程化基地。利用产业投资基金支持高校创新成果和核心技术产业化。</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国家发展改革委、教育部、科技部、财政部会同有关部门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12</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强化企业职工在岗教育培训。</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全国总工会、人力资源社会保障部会同有关部门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13</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鼓励区域、行业骨干企业联合职业学校、高等学校共同组建产教融合集团（联盟），带动中小企业参与，推进实体化运作。</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有关部门和行业协会，各省级人民政府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14</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注重发挥国有企业特别是中央企业示范带头作用，支持各类企业依法参与校企合作。</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国务院国资委、全国工商联</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15</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结合推进国有企业改革，支持有条件的国有企业继续办好做强职业学校。</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国务院国资委、国家发展改革委、财政部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16</w:t>
            </w:r>
          </w:p>
        </w:tc>
        <w:tc>
          <w:tcPr>
            <w:tcW w:w="1537"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推进产教融合人才培养改革</w:t>
            </w: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将工匠精神培育融入基础教育。深化全日制职业学校办学体制改革，在技术性、实践性较强的专业，全面推行现代学徒制和企业新型学徒制。</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教育部、人力资源社会保障部、国家发展改革委、全国总工会会同有关部门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17</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健全高等教育学术人才和应用人才分类培养体系，提高应用型人才培养比重。</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教育部、国家发展改革委会同有关部门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18</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加强产教融合师资队伍建设。支持企业技术和管理人才到学校任教，鼓励有条件的地方探索产业教师（导师）特设岗位计划。</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教育部，各省级人民政府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19</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适度提高高等学校招收职业教育毕业生比例，建立复合型、创新型技术技能人才系统培养制度。逐步提高高等学校招收有工作实践经历人员的比例。</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教育部会同有关部门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0"/>
                <w:szCs w:val="20"/>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20</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加快学校治理结构改革。创新教育培训服务供给。</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教育部会同有关部门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21</w:t>
            </w:r>
          </w:p>
        </w:tc>
        <w:tc>
          <w:tcPr>
            <w:tcW w:w="1537"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促进产教供需双向对接</w:t>
            </w: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强化行业协调指导。规范发展市场服务组织。打造信息服务平台。健全社会第三方评价。</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国家发展改革委、教育部、有关部门和行业协会，有关省级人民政府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22</w:t>
            </w:r>
          </w:p>
        </w:tc>
        <w:tc>
          <w:tcPr>
            <w:tcW w:w="1537" w:type="dxa"/>
            <w:vMerge w:val="restart"/>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完善政策支持体系</w:t>
            </w: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实施产教融合发展工程。</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国家发展改革委、教育部、人力资源社会保障部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23</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落实财税用地等政策。</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财政部、税务总局、国土资源部、国家发展改革委，各省级人民政府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24</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强化金融支持。</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人民银行、银监会、证监会、保监会、国家发展改革委、财政部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25</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开展产教融合建设试点。</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国家发展改革委、教育部会同有关部门，各省级人民政府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18"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0"/>
                <w:szCs w:val="20"/>
                <w:bdr w:val="none" w:color="auto" w:sz="0" w:space="0"/>
              </w:rPr>
              <w:t>26</w:t>
            </w:r>
          </w:p>
        </w:tc>
        <w:tc>
          <w:tcPr>
            <w:tcW w:w="1537"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宋体"/>
                <w:sz w:val="24"/>
                <w:szCs w:val="24"/>
              </w:rPr>
            </w:pPr>
          </w:p>
        </w:tc>
        <w:tc>
          <w:tcPr>
            <w:tcW w:w="4229"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加强国际交流合作。</w:t>
            </w:r>
          </w:p>
        </w:tc>
        <w:tc>
          <w:tcPr>
            <w:tcW w:w="2591" w:type="dxa"/>
            <w:tcBorders>
              <w:top w:val="nil"/>
              <w:left w:val="nil"/>
              <w:bottom w:val="single" w:color="000000" w:sz="8" w:space="0"/>
              <w:right w:val="single" w:color="000000"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教育部会同有关部门</w:t>
            </w:r>
          </w:p>
        </w:tc>
      </w:tr>
    </w:tbl>
    <w:p>
      <w:pPr>
        <w:pStyle w:val="2"/>
        <w:keepNext w:val="0"/>
        <w:keepLines w:val="0"/>
        <w:widowControl/>
        <w:suppressLineNumbers w:val="0"/>
        <w:spacing w:before="0" w:beforeAutospacing="0" w:after="0" w:afterAutospacing="0" w:line="480" w:lineRule="atLeast"/>
        <w:ind w:left="0" w:right="0"/>
        <w:jc w:val="center"/>
        <w:rPr>
          <w:b/>
          <w:color w:val="4B4B4B"/>
          <w:sz w:val="30"/>
          <w:szCs w:val="30"/>
          <w:shd w:val="clear" w:fill="FFFFFF"/>
        </w:rPr>
      </w:pPr>
    </w:p>
    <w:p>
      <w:pPr>
        <w:pStyle w:val="2"/>
        <w:keepNext w:val="0"/>
        <w:keepLines w:val="0"/>
        <w:widowControl/>
        <w:suppressLineNumbers w:val="0"/>
        <w:spacing w:before="0" w:beforeAutospacing="0" w:after="0" w:afterAutospacing="0" w:line="480" w:lineRule="atLeast"/>
        <w:ind w:left="0" w:right="0"/>
        <w:jc w:val="center"/>
        <w:rPr>
          <w:b/>
          <w:color w:val="4B4B4B"/>
          <w:sz w:val="30"/>
          <w:szCs w:val="30"/>
          <w:shd w:val="clear" w:fill="FFFFFF"/>
        </w:rPr>
      </w:pPr>
    </w:p>
    <w:p>
      <w:pPr>
        <w:pStyle w:val="2"/>
        <w:keepNext w:val="0"/>
        <w:keepLines w:val="0"/>
        <w:widowControl/>
        <w:suppressLineNumbers w:val="0"/>
        <w:spacing w:before="0" w:beforeAutospacing="0" w:after="0" w:afterAutospacing="0" w:line="480" w:lineRule="atLeast"/>
        <w:ind w:left="0" w:right="0"/>
        <w:jc w:val="center"/>
        <w:rPr>
          <w:b/>
          <w:color w:val="4B4B4B"/>
          <w:sz w:val="30"/>
          <w:szCs w:val="30"/>
          <w:shd w:val="clear" w:fill="FFFFFF"/>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Hiragino Sans GB">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922763"/>
    <w:rsid w:val="1E52396A"/>
    <w:rsid w:val="4D8F6CCD"/>
    <w:rsid w:val="4E044559"/>
    <w:rsid w:val="7F9227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800080"/>
      <w:u w:val="none"/>
    </w:rPr>
  </w:style>
  <w:style w:type="character" w:styleId="7">
    <w:name w:val="Hyperlink"/>
    <w:basedOn w:val="4"/>
    <w:qFormat/>
    <w:uiPriority w:val="0"/>
    <w:rPr>
      <w:color w:val="0000FF"/>
      <w:u w:val="none"/>
    </w:rPr>
  </w:style>
  <w:style w:type="character" w:customStyle="1" w:styleId="9">
    <w:name w:val="hover36"/>
    <w:basedOn w:val="4"/>
    <w:qFormat/>
    <w:uiPriority w:val="0"/>
    <w:rPr>
      <w:color w:val="557EE7"/>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2017-12-20T07:23:00Z</dcterms:created>
  <dc:creator>夯夯1426035643</dc:creator>
  <cp:lastModifiedBy>夯夯1426035643</cp:lastModifiedBy>
  <dcterms:modified xsi:type="dcterms:W3CDTF">2018-04-20T07:20:20Z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